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63D7" w14:textId="2020E9B9" w:rsidR="00C571C8" w:rsidRPr="00C571C8" w:rsidRDefault="00C571C8">
      <w:pPr>
        <w:rPr>
          <w:b/>
          <w:bCs/>
        </w:rPr>
      </w:pPr>
      <w:r w:rsidRPr="00C571C8">
        <w:rPr>
          <w:b/>
          <w:bCs/>
        </w:rPr>
        <w:t>Pakkumus</w:t>
      </w:r>
    </w:p>
    <w:p w14:paraId="58BD7589" w14:textId="5B16095B" w:rsidR="000A2EA6" w:rsidRDefault="000A2EA6" w:rsidP="00C571C8">
      <w:pPr>
        <w:ind w:left="5664"/>
      </w:pPr>
      <w:proofErr w:type="spellStart"/>
      <w:r>
        <w:t>Impakta</w:t>
      </w:r>
      <w:proofErr w:type="spellEnd"/>
      <w:r>
        <w:t xml:space="preserve"> OÜ, </w:t>
      </w:r>
      <w:proofErr w:type="spellStart"/>
      <w:r w:rsidR="003140C4">
        <w:t>reg</w:t>
      </w:r>
      <w:proofErr w:type="spellEnd"/>
      <w:r w:rsidR="003140C4">
        <w:t xml:space="preserve">. nr. </w:t>
      </w:r>
      <w:r w:rsidR="003140C4" w:rsidRPr="003140C4">
        <w:t>3268743</w:t>
      </w:r>
    </w:p>
    <w:p w14:paraId="564CD1A6" w14:textId="1E69B7D0" w:rsidR="00C571C8" w:rsidRDefault="00C571C8" w:rsidP="00C571C8">
      <w:pPr>
        <w:ind w:left="5664"/>
      </w:pPr>
      <w:r>
        <w:t>Uku-Mats Peedosk</w:t>
      </w:r>
    </w:p>
    <w:p w14:paraId="6E1070FB" w14:textId="755C7456" w:rsidR="00C571C8" w:rsidRDefault="00C571C8" w:rsidP="00C571C8">
      <w:pPr>
        <w:ind w:left="5664"/>
      </w:pPr>
      <w:hyperlink r:id="rId8" w:history="1">
        <w:r w:rsidRPr="00885187">
          <w:rPr>
            <w:rStyle w:val="Hperlink"/>
          </w:rPr>
          <w:t>ukumats.peedosk@gmail.com</w:t>
        </w:r>
      </w:hyperlink>
    </w:p>
    <w:p w14:paraId="55756F3E" w14:textId="1A6F3227" w:rsidR="00C571C8" w:rsidRDefault="00C571C8" w:rsidP="00C571C8">
      <w:pPr>
        <w:ind w:left="5664"/>
      </w:pPr>
      <w:r>
        <w:t>+372 555 98 415</w:t>
      </w:r>
    </w:p>
    <w:p w14:paraId="0E3DC86E" w14:textId="77777777" w:rsidR="00C571C8" w:rsidRDefault="00C571C8" w:rsidP="00C571C8"/>
    <w:p w14:paraId="5CAA5F59" w14:textId="36F12C03" w:rsidR="00C571C8" w:rsidRPr="000A2EA6" w:rsidRDefault="00C571C8" w:rsidP="00C571C8">
      <w:pPr>
        <w:rPr>
          <w:u w:val="single"/>
        </w:rPr>
      </w:pPr>
      <w:r w:rsidRPr="000A2EA6">
        <w:rPr>
          <w:u w:val="single"/>
        </w:rPr>
        <w:t>Pakkumus mõjuanalüüsiks perekonnaseaduse eelnõule</w:t>
      </w:r>
    </w:p>
    <w:p w14:paraId="6DE81B56" w14:textId="23E7660F" w:rsidR="00C571C8" w:rsidRDefault="000A2EA6" w:rsidP="000967BB">
      <w:pPr>
        <w:ind w:left="360"/>
      </w:pPr>
      <w:r>
        <w:t>Pakkumus koosneb neljast osast:</w:t>
      </w:r>
    </w:p>
    <w:p w14:paraId="01318A87" w14:textId="20DB05A6" w:rsidR="000A2EA6" w:rsidRDefault="000A2EA6" w:rsidP="000967BB">
      <w:pPr>
        <w:pStyle w:val="Loendilik"/>
        <w:numPr>
          <w:ilvl w:val="0"/>
          <w:numId w:val="1"/>
        </w:numPr>
        <w:ind w:left="1080"/>
      </w:pPr>
      <w:r>
        <w:t>Teostatavate tööde kirjeldus koos ajagraafikuga</w:t>
      </w:r>
    </w:p>
    <w:p w14:paraId="46A40ECF" w14:textId="26A45C92" w:rsidR="000A2EA6" w:rsidRDefault="000A2EA6" w:rsidP="000967BB">
      <w:pPr>
        <w:pStyle w:val="Loendilik"/>
        <w:numPr>
          <w:ilvl w:val="0"/>
          <w:numId w:val="1"/>
        </w:numPr>
        <w:ind w:left="1080"/>
      </w:pPr>
      <w:r>
        <w:t>Tööde maksumus</w:t>
      </w:r>
    </w:p>
    <w:p w14:paraId="700766ED" w14:textId="517EBF81" w:rsidR="000A2EA6" w:rsidRDefault="000A2EA6" w:rsidP="000967BB">
      <w:pPr>
        <w:pStyle w:val="Loendilik"/>
        <w:numPr>
          <w:ilvl w:val="0"/>
          <w:numId w:val="1"/>
        </w:numPr>
        <w:ind w:left="1080"/>
      </w:pPr>
      <w:r>
        <w:t>Tööde teostaja pädevuse kirjeldus</w:t>
      </w:r>
    </w:p>
    <w:p w14:paraId="3254DA86" w14:textId="5C9C7792" w:rsidR="000A2EA6" w:rsidRDefault="000A2EA6" w:rsidP="000967BB">
      <w:pPr>
        <w:pStyle w:val="Loendilik"/>
        <w:numPr>
          <w:ilvl w:val="0"/>
          <w:numId w:val="1"/>
        </w:numPr>
        <w:ind w:left="1080"/>
      </w:pPr>
      <w:r>
        <w:t>Sõltumatuse kinnitus</w:t>
      </w:r>
    </w:p>
    <w:p w14:paraId="25BD00A4" w14:textId="18989C9A" w:rsidR="000A2EA6" w:rsidRDefault="000A2EA6" w:rsidP="000967BB">
      <w:pPr>
        <w:ind w:left="360"/>
      </w:pPr>
      <w:r>
        <w:t>Pakkumusele on eraldiseisva dokumendina lisatud eksperdi elulookirjeldus.</w:t>
      </w:r>
    </w:p>
    <w:p w14:paraId="455F6154" w14:textId="619BC3E2" w:rsidR="000A2EA6" w:rsidRPr="000A2EA6" w:rsidRDefault="000A2EA6" w:rsidP="00C571C8">
      <w:pPr>
        <w:rPr>
          <w:u w:val="single"/>
        </w:rPr>
      </w:pPr>
      <w:r w:rsidRPr="000A2EA6">
        <w:rPr>
          <w:u w:val="single"/>
        </w:rPr>
        <w:t>Teostatavad tööd</w:t>
      </w:r>
    </w:p>
    <w:p w14:paraId="1591E61D" w14:textId="6696AE52" w:rsidR="00C571C8" w:rsidRDefault="00C571C8" w:rsidP="00C571C8">
      <w:r>
        <w:t>Mõjuanalüüsi käigus teostatakse järgmised tööd:</w:t>
      </w:r>
    </w:p>
    <w:tbl>
      <w:tblPr>
        <w:tblStyle w:val="Kontuurtabel"/>
        <w:tblW w:w="0" w:type="auto"/>
        <w:tblLook w:val="04A0" w:firstRow="1" w:lastRow="0" w:firstColumn="1" w:lastColumn="0" w:noHBand="0" w:noVBand="1"/>
      </w:tblPr>
      <w:tblGrid>
        <w:gridCol w:w="5949"/>
        <w:gridCol w:w="1984"/>
        <w:gridCol w:w="1129"/>
      </w:tblGrid>
      <w:tr w:rsidR="003E5F14" w14:paraId="34AC051B" w14:textId="77777777" w:rsidTr="004D58C5">
        <w:tc>
          <w:tcPr>
            <w:tcW w:w="5949" w:type="dxa"/>
          </w:tcPr>
          <w:p w14:paraId="4E3C850C" w14:textId="47873417" w:rsidR="003E5F14" w:rsidRPr="00F8722B" w:rsidRDefault="003E5F14" w:rsidP="003E5F14">
            <w:r>
              <w:t>Tegevused</w:t>
            </w:r>
          </w:p>
        </w:tc>
        <w:tc>
          <w:tcPr>
            <w:tcW w:w="1984" w:type="dxa"/>
          </w:tcPr>
          <w:p w14:paraId="02C8F5B4" w14:textId="3536E097" w:rsidR="003E5F14" w:rsidRDefault="003E5F14" w:rsidP="003E5F14">
            <w:r>
              <w:t>Ajavahemik</w:t>
            </w:r>
          </w:p>
        </w:tc>
        <w:tc>
          <w:tcPr>
            <w:tcW w:w="1129" w:type="dxa"/>
          </w:tcPr>
          <w:p w14:paraId="7286B3C8" w14:textId="5785AC4A" w:rsidR="003E5F14" w:rsidRDefault="003E5F14" w:rsidP="003E5F14">
            <w:r>
              <w:t>Ajakulu</w:t>
            </w:r>
            <w:r w:rsidR="004D58C5">
              <w:t xml:space="preserve"> (tundi)</w:t>
            </w:r>
          </w:p>
        </w:tc>
      </w:tr>
      <w:tr w:rsidR="003E5F14" w14:paraId="09B79396" w14:textId="77777777" w:rsidTr="004D58C5">
        <w:tc>
          <w:tcPr>
            <w:tcW w:w="5949" w:type="dxa"/>
          </w:tcPr>
          <w:p w14:paraId="41DADC47" w14:textId="209D23BB" w:rsidR="003E5F14" w:rsidRDefault="003E5F14" w:rsidP="003E5F14">
            <w:r w:rsidRPr="00F8722B">
              <w:t>Uurimisküsimuste püstitamine, andmeallikate määratlemine</w:t>
            </w:r>
          </w:p>
        </w:tc>
        <w:tc>
          <w:tcPr>
            <w:tcW w:w="1984" w:type="dxa"/>
            <w:vMerge w:val="restart"/>
          </w:tcPr>
          <w:p w14:paraId="044167EA" w14:textId="26243D9F" w:rsidR="003E5F14" w:rsidRDefault="003E5F14" w:rsidP="003E5F14">
            <w:r>
              <w:t>30.01. – 01.02.</w:t>
            </w:r>
          </w:p>
        </w:tc>
        <w:tc>
          <w:tcPr>
            <w:tcW w:w="1129" w:type="dxa"/>
          </w:tcPr>
          <w:p w14:paraId="5C3C207F" w14:textId="3B7F117C" w:rsidR="003E5F14" w:rsidRDefault="004D58C5" w:rsidP="003E5F14">
            <w:r>
              <w:t>8</w:t>
            </w:r>
          </w:p>
        </w:tc>
      </w:tr>
      <w:tr w:rsidR="003E5F14" w14:paraId="2656B584" w14:textId="77777777" w:rsidTr="004D58C5">
        <w:tc>
          <w:tcPr>
            <w:tcW w:w="5949" w:type="dxa"/>
          </w:tcPr>
          <w:p w14:paraId="62A5A719" w14:textId="477093B3" w:rsidR="003E5F14" w:rsidRDefault="003E5F14" w:rsidP="003E5F14">
            <w:r w:rsidRPr="00F8722B">
              <w:t xml:space="preserve">Kavandatavate muudatuste sõnastamine </w:t>
            </w:r>
          </w:p>
        </w:tc>
        <w:tc>
          <w:tcPr>
            <w:tcW w:w="1984" w:type="dxa"/>
            <w:vMerge/>
          </w:tcPr>
          <w:p w14:paraId="08086079" w14:textId="77777777" w:rsidR="003E5F14" w:rsidRDefault="003E5F14" w:rsidP="003E5F14"/>
        </w:tc>
        <w:tc>
          <w:tcPr>
            <w:tcW w:w="1129" w:type="dxa"/>
          </w:tcPr>
          <w:p w14:paraId="4469B522" w14:textId="711809F1" w:rsidR="003E5F14" w:rsidRDefault="004D58C5" w:rsidP="003E5F14">
            <w:r>
              <w:t>6</w:t>
            </w:r>
          </w:p>
        </w:tc>
      </w:tr>
      <w:tr w:rsidR="003E5F14" w14:paraId="334F6537" w14:textId="77777777" w:rsidTr="004D58C5">
        <w:tc>
          <w:tcPr>
            <w:tcW w:w="5949" w:type="dxa"/>
          </w:tcPr>
          <w:p w14:paraId="677E4C76" w14:textId="44DF20E7" w:rsidR="003E5F14" w:rsidRDefault="003E5F14" w:rsidP="003E5F14">
            <w:r w:rsidRPr="00F8722B">
              <w:t>Mõjude esmane kirjeldamine, muudatuste sidumine kaasnevate mõjudega</w:t>
            </w:r>
          </w:p>
        </w:tc>
        <w:tc>
          <w:tcPr>
            <w:tcW w:w="1984" w:type="dxa"/>
          </w:tcPr>
          <w:p w14:paraId="73483DF4" w14:textId="230FD0A5" w:rsidR="003E5F14" w:rsidRDefault="003E5F14" w:rsidP="003E5F14">
            <w:r>
              <w:t>02.02. – 0</w:t>
            </w:r>
            <w:r w:rsidR="004D58C5">
              <w:t>4</w:t>
            </w:r>
            <w:r>
              <w:t>.02.</w:t>
            </w:r>
          </w:p>
        </w:tc>
        <w:tc>
          <w:tcPr>
            <w:tcW w:w="1129" w:type="dxa"/>
          </w:tcPr>
          <w:p w14:paraId="357DB9D8" w14:textId="6A258401" w:rsidR="003E5F14" w:rsidRDefault="003E5F14" w:rsidP="003E5F14">
            <w:r>
              <w:t>12</w:t>
            </w:r>
          </w:p>
        </w:tc>
      </w:tr>
      <w:tr w:rsidR="003E5F14" w14:paraId="66AC7957" w14:textId="77777777" w:rsidTr="004D58C5">
        <w:tc>
          <w:tcPr>
            <w:tcW w:w="5949" w:type="dxa"/>
          </w:tcPr>
          <w:p w14:paraId="07EACF58" w14:textId="00ABD549" w:rsidR="003E5F14" w:rsidRDefault="003E5F14" w:rsidP="003E5F14">
            <w:r w:rsidRPr="00F8722B">
              <w:t>Andmete kogumine ja analüüs</w:t>
            </w:r>
            <w:r>
              <w:t>, teabe illustreerimine</w:t>
            </w:r>
          </w:p>
        </w:tc>
        <w:tc>
          <w:tcPr>
            <w:tcW w:w="1984" w:type="dxa"/>
          </w:tcPr>
          <w:p w14:paraId="562106B5" w14:textId="265E4B18" w:rsidR="003E5F14" w:rsidRDefault="004D58C5" w:rsidP="003E5F14">
            <w:r>
              <w:t>05.02. – 08.02.</w:t>
            </w:r>
          </w:p>
        </w:tc>
        <w:tc>
          <w:tcPr>
            <w:tcW w:w="1129" w:type="dxa"/>
          </w:tcPr>
          <w:p w14:paraId="4C0B403E" w14:textId="7E4D2305" w:rsidR="003E5F14" w:rsidRDefault="003E5F14" w:rsidP="003E5F14">
            <w:r>
              <w:t>2</w:t>
            </w:r>
            <w:r w:rsidR="004D58C5">
              <w:t>6</w:t>
            </w:r>
          </w:p>
        </w:tc>
      </w:tr>
      <w:tr w:rsidR="003E5F14" w14:paraId="017F4FF1" w14:textId="77777777" w:rsidTr="004D58C5">
        <w:tc>
          <w:tcPr>
            <w:tcW w:w="5949" w:type="dxa"/>
          </w:tcPr>
          <w:p w14:paraId="01B7F140" w14:textId="1CC949DF" w:rsidR="003E5F14" w:rsidRDefault="003E5F14" w:rsidP="003E5F14">
            <w:r w:rsidRPr="00F8722B">
              <w:t>Eelnõus kavandatavate muudatuste kirjeldamine koos arvnäitajatega</w:t>
            </w:r>
          </w:p>
        </w:tc>
        <w:tc>
          <w:tcPr>
            <w:tcW w:w="1984" w:type="dxa"/>
          </w:tcPr>
          <w:p w14:paraId="08AED448" w14:textId="1269811D" w:rsidR="003E5F14" w:rsidRDefault="004D58C5" w:rsidP="003E5F14">
            <w:r>
              <w:t>09.02. – 11.02.</w:t>
            </w:r>
          </w:p>
        </w:tc>
        <w:tc>
          <w:tcPr>
            <w:tcW w:w="1129" w:type="dxa"/>
          </w:tcPr>
          <w:p w14:paraId="36129232" w14:textId="1E3F1CAB" w:rsidR="003E5F14" w:rsidRDefault="003E5F14" w:rsidP="003E5F14">
            <w:r>
              <w:t>1</w:t>
            </w:r>
            <w:r w:rsidR="004D58C5">
              <w:t>7</w:t>
            </w:r>
          </w:p>
        </w:tc>
      </w:tr>
      <w:tr w:rsidR="003E5F14" w14:paraId="649F7BC6" w14:textId="77777777" w:rsidTr="004D58C5">
        <w:trPr>
          <w:trHeight w:val="50"/>
        </w:trPr>
        <w:tc>
          <w:tcPr>
            <w:tcW w:w="5949" w:type="dxa"/>
          </w:tcPr>
          <w:p w14:paraId="0C2A7532" w14:textId="7BE69237" w:rsidR="003E5F14" w:rsidRDefault="003E5F14" w:rsidP="003E5F14">
            <w:r w:rsidRPr="00F8722B">
              <w:t>Analüüsi aruande koostamine, teabe struktureerimine ja korrastamine, vajadusel eraldiseisva eelnõu seletuskirja mõjude alapeatüki kirjutamine (lühendatud variant mõjuanalüüsist)</w:t>
            </w:r>
          </w:p>
        </w:tc>
        <w:tc>
          <w:tcPr>
            <w:tcW w:w="1984" w:type="dxa"/>
          </w:tcPr>
          <w:p w14:paraId="53DEABD2" w14:textId="425EF095" w:rsidR="003E5F14" w:rsidRDefault="004D58C5" w:rsidP="003E5F14">
            <w:r>
              <w:t>12.02. – 16.02.</w:t>
            </w:r>
          </w:p>
        </w:tc>
        <w:tc>
          <w:tcPr>
            <w:tcW w:w="1129" w:type="dxa"/>
          </w:tcPr>
          <w:p w14:paraId="20728686" w14:textId="5189CA50" w:rsidR="003E5F14" w:rsidRDefault="004D58C5" w:rsidP="003E5F14">
            <w:r>
              <w:t>34</w:t>
            </w:r>
          </w:p>
        </w:tc>
      </w:tr>
      <w:tr w:rsidR="003E5F14" w14:paraId="762AC1BC" w14:textId="77777777" w:rsidTr="004D58C5">
        <w:tc>
          <w:tcPr>
            <w:tcW w:w="5949" w:type="dxa"/>
          </w:tcPr>
          <w:p w14:paraId="3B17AF46" w14:textId="77777777" w:rsidR="003E5F14" w:rsidRDefault="003E5F14" w:rsidP="003E5F14">
            <w:r>
              <w:t>Tellija tagasiside koondamine ja vajadusel analüüsi korrigeerimine</w:t>
            </w:r>
          </w:p>
          <w:p w14:paraId="46E77EDF" w14:textId="77777777" w:rsidR="003E5F14" w:rsidRPr="00F8722B" w:rsidRDefault="003E5F14" w:rsidP="003E5F14"/>
        </w:tc>
        <w:tc>
          <w:tcPr>
            <w:tcW w:w="1984" w:type="dxa"/>
          </w:tcPr>
          <w:p w14:paraId="39FB02D6" w14:textId="162DDA4F" w:rsidR="003E5F14" w:rsidRDefault="004D58C5" w:rsidP="003E5F14">
            <w:r>
              <w:t>17.02. – 20.02. hiljem vajadusel</w:t>
            </w:r>
          </w:p>
        </w:tc>
        <w:tc>
          <w:tcPr>
            <w:tcW w:w="1129" w:type="dxa"/>
          </w:tcPr>
          <w:p w14:paraId="6DA88CB4" w14:textId="7EF6C95A" w:rsidR="003E5F14" w:rsidRDefault="003E5F14" w:rsidP="003E5F14">
            <w:r>
              <w:t>1</w:t>
            </w:r>
            <w:r w:rsidR="004D58C5">
              <w:t>2</w:t>
            </w:r>
          </w:p>
        </w:tc>
      </w:tr>
      <w:tr w:rsidR="004D58C5" w14:paraId="0372C6F1" w14:textId="77777777" w:rsidTr="004D58C5">
        <w:tc>
          <w:tcPr>
            <w:tcW w:w="5949" w:type="dxa"/>
          </w:tcPr>
          <w:p w14:paraId="5EF90223" w14:textId="30730132" w:rsidR="004D58C5" w:rsidRDefault="004D58C5" w:rsidP="003E5F14">
            <w:r>
              <w:t>Kokku</w:t>
            </w:r>
          </w:p>
        </w:tc>
        <w:tc>
          <w:tcPr>
            <w:tcW w:w="1984" w:type="dxa"/>
          </w:tcPr>
          <w:p w14:paraId="11D3E13E" w14:textId="54F4ACB1" w:rsidR="004D58C5" w:rsidRDefault="004D58C5" w:rsidP="003E5F14">
            <w:r>
              <w:t>30.01. – 20.02.</w:t>
            </w:r>
          </w:p>
        </w:tc>
        <w:tc>
          <w:tcPr>
            <w:tcW w:w="1129" w:type="dxa"/>
          </w:tcPr>
          <w:p w14:paraId="0874C9EA" w14:textId="6E4828C2" w:rsidR="004D58C5" w:rsidRDefault="004D58C5" w:rsidP="003E5F14">
            <w:r>
              <w:t>115</w:t>
            </w:r>
          </w:p>
        </w:tc>
      </w:tr>
    </w:tbl>
    <w:p w14:paraId="6198F7EE" w14:textId="77777777" w:rsidR="003E5F14" w:rsidRDefault="003E5F14" w:rsidP="00C571C8"/>
    <w:p w14:paraId="0BEC6A54" w14:textId="3DA3E42E" w:rsidR="000A2EA6" w:rsidRDefault="000A2EA6" w:rsidP="00C571C8">
      <w:r>
        <w:t xml:space="preserve">Tööde tulemusel koostatakse </w:t>
      </w:r>
      <w:r w:rsidRPr="000A2EA6">
        <w:rPr>
          <w:b/>
          <w:bCs/>
        </w:rPr>
        <w:t>mõjuanalüüsi aruanne</w:t>
      </w:r>
      <w:r>
        <w:t>, mis antakse tellijale üle akti alusel.</w:t>
      </w:r>
    </w:p>
    <w:p w14:paraId="576BAC65" w14:textId="77777777" w:rsidR="004D58C5" w:rsidRPr="004D58C5" w:rsidRDefault="004D58C5" w:rsidP="004D58C5">
      <w:pPr>
        <w:rPr>
          <w:u w:val="single"/>
        </w:rPr>
      </w:pPr>
      <w:r w:rsidRPr="004D58C5">
        <w:rPr>
          <w:u w:val="single"/>
        </w:rPr>
        <w:lastRenderedPageBreak/>
        <w:t>Tööde kogumaksumus</w:t>
      </w:r>
    </w:p>
    <w:p w14:paraId="58C17EF9" w14:textId="1359B5FA" w:rsidR="004D58C5" w:rsidRDefault="004D58C5" w:rsidP="000967BB">
      <w:pPr>
        <w:ind w:left="708"/>
      </w:pPr>
      <w:r>
        <w:t xml:space="preserve">Hinnapakkumine tööde teostamiseks </w:t>
      </w:r>
      <w:r w:rsidRPr="000A2EA6">
        <w:rPr>
          <w:b/>
          <w:bCs/>
        </w:rPr>
        <w:t>kogusummas 4600 eurot</w:t>
      </w:r>
      <w:r>
        <w:t>. Tööde teostajaks on juriidiline isik</w:t>
      </w:r>
      <w:r w:rsidR="0097796D">
        <w:t xml:space="preserve"> – </w:t>
      </w:r>
      <w:proofErr w:type="spellStart"/>
      <w:r w:rsidR="0097796D">
        <w:t>Impakta</w:t>
      </w:r>
      <w:proofErr w:type="spellEnd"/>
      <w:r w:rsidR="0097796D">
        <w:t xml:space="preserve"> OÜ</w:t>
      </w:r>
      <w:r>
        <w:t xml:space="preserve">, </w:t>
      </w:r>
      <w:r w:rsidR="0097796D">
        <w:t>ettevõte ei ole käibemaksukohuslane</w:t>
      </w:r>
      <w:r>
        <w:t>.</w:t>
      </w:r>
    </w:p>
    <w:p w14:paraId="378ED5A0" w14:textId="1FDDC05B" w:rsidR="00C571C8" w:rsidRDefault="003E5F14" w:rsidP="000967BB">
      <w:pPr>
        <w:ind w:left="708"/>
      </w:pPr>
      <w:r>
        <w:t>Tunnihind tööde teostamisel on 40 eurot (</w:t>
      </w:r>
      <w:r w:rsidR="004D58C5">
        <w:t>0%km</w:t>
      </w:r>
      <w:r>
        <w:t>)</w:t>
      </w:r>
    </w:p>
    <w:p w14:paraId="2A717203" w14:textId="1A1BFCC6" w:rsidR="003E5F14" w:rsidRDefault="003E5F14" w:rsidP="000967BB">
      <w:pPr>
        <w:ind w:left="708"/>
      </w:pPr>
      <w:r>
        <w:t>Ajakulu tööde läbiviimisel on 115 tundi.</w:t>
      </w:r>
    </w:p>
    <w:p w14:paraId="6D02CEAE" w14:textId="3126A8B9" w:rsidR="004D58C5" w:rsidRPr="003F1B43" w:rsidRDefault="004D58C5" w:rsidP="00C571C8">
      <w:pPr>
        <w:rPr>
          <w:u w:val="single"/>
        </w:rPr>
      </w:pPr>
      <w:r w:rsidRPr="003F1B43">
        <w:rPr>
          <w:u w:val="single"/>
        </w:rPr>
        <w:t>Tööde teostaja</w:t>
      </w:r>
    </w:p>
    <w:p w14:paraId="786A483E" w14:textId="6429878E" w:rsidR="004D58C5" w:rsidRPr="000A2EA6" w:rsidRDefault="003F1B43" w:rsidP="0097796D">
      <w:pPr>
        <w:ind w:left="708"/>
        <w:rPr>
          <w:b/>
          <w:bCs/>
        </w:rPr>
      </w:pPr>
      <w:r w:rsidRPr="000A2EA6">
        <w:rPr>
          <w:b/>
          <w:bCs/>
        </w:rPr>
        <w:t>Uku-Mats Peedosk</w:t>
      </w:r>
    </w:p>
    <w:p w14:paraId="55776325" w14:textId="77777777" w:rsidR="000A2EA6" w:rsidRDefault="003F1B43" w:rsidP="0097796D">
      <w:pPr>
        <w:ind w:left="708"/>
      </w:pPr>
      <w:r>
        <w:t>Ekspert on varem seaduseelnõude mõjusid analüüsinud Justiitsministeeriumis (2006-2022), muuhulgas teostanud ka perekonnaõiguse muutmise seaduseelnõude mõjuanalüüsid.</w:t>
      </w:r>
      <w:r w:rsidR="000A2EA6" w:rsidRPr="000A2EA6">
        <w:t xml:space="preserve"> </w:t>
      </w:r>
    </w:p>
    <w:p w14:paraId="5A0815E6" w14:textId="670C1465" w:rsidR="000A2EA6" w:rsidRDefault="000A2EA6" w:rsidP="0097796D">
      <w:pPr>
        <w:ind w:left="708"/>
      </w:pPr>
      <w:r>
        <w:t>Elulookirjeldus on lisatud pakkumusele eraldi dokumendina.</w:t>
      </w:r>
    </w:p>
    <w:p w14:paraId="70E64F10" w14:textId="44F9B032" w:rsidR="000A2EA6" w:rsidRPr="000A2EA6" w:rsidRDefault="000A2EA6" w:rsidP="00C571C8">
      <w:pPr>
        <w:rPr>
          <w:u w:val="single"/>
        </w:rPr>
      </w:pPr>
      <w:r w:rsidRPr="000A2EA6">
        <w:rPr>
          <w:u w:val="single"/>
        </w:rPr>
        <w:t>Sõltumatuse kinnitus</w:t>
      </w:r>
    </w:p>
    <w:p w14:paraId="4AE78F89" w14:textId="78D689FA" w:rsidR="000A2EA6" w:rsidRDefault="000A2EA6" w:rsidP="00C571C8">
      <w:r>
        <w:t>P</w:t>
      </w:r>
      <w:r w:rsidRPr="000A2EA6">
        <w:t>akkumuse esitaja kinnitab, et ta kohustub töö teostamisel tegutsema sõltumatu eksperdina ning lähtuma tööde raames ettepanekute tegemisel tellija juhtnööre järgides oma parimatest õigusteaduslikest ja valdkondlikest teadmistest, kogemustest ja meetoditest. Pakkuja kinnitab, et tagab, et mistahes temapoolne äri- või muu tegevus ei ole suunatud kolmandate isikute huvide esindamisele tööde teostamisel.</w:t>
      </w:r>
    </w:p>
    <w:p w14:paraId="1DA08612" w14:textId="77777777" w:rsidR="000A2EA6" w:rsidRDefault="000A2EA6" w:rsidP="00C571C8"/>
    <w:p w14:paraId="7BF6CA22" w14:textId="447382B2" w:rsidR="000A2EA6" w:rsidRDefault="000A2EA6" w:rsidP="00C571C8">
      <w:r>
        <w:t>Juriidilise isiku esindaja:</w:t>
      </w:r>
    </w:p>
    <w:p w14:paraId="5FB259BE" w14:textId="45BEBFAB" w:rsidR="000A2EA6" w:rsidRDefault="000A2EA6" w:rsidP="00C571C8">
      <w:r>
        <w:t>Uku-Mats Peedosk</w:t>
      </w:r>
    </w:p>
    <w:p w14:paraId="454A56A4" w14:textId="26C37683" w:rsidR="000A2EA6" w:rsidRPr="000A2EA6" w:rsidRDefault="000A2EA6" w:rsidP="00C571C8">
      <w:pPr>
        <w:rPr>
          <w:i/>
          <w:iCs/>
        </w:rPr>
      </w:pPr>
      <w:r w:rsidRPr="000A2EA6">
        <w:rPr>
          <w:i/>
          <w:iCs/>
        </w:rPr>
        <w:t>/allkirjastatud digitaalselt/</w:t>
      </w:r>
    </w:p>
    <w:sectPr w:rsidR="000A2EA6" w:rsidRPr="000A2EA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67DC" w14:textId="77777777" w:rsidR="00340B06" w:rsidRDefault="00340B06" w:rsidP="000967BB">
      <w:pPr>
        <w:spacing w:after="0" w:line="240" w:lineRule="auto"/>
      </w:pPr>
      <w:r>
        <w:separator/>
      </w:r>
    </w:p>
  </w:endnote>
  <w:endnote w:type="continuationSeparator" w:id="0">
    <w:p w14:paraId="168D72F7" w14:textId="77777777" w:rsidR="00340B06" w:rsidRDefault="00340B06" w:rsidP="0009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013653"/>
      <w:docPartObj>
        <w:docPartGallery w:val="Page Numbers (Bottom of Page)"/>
        <w:docPartUnique/>
      </w:docPartObj>
    </w:sdtPr>
    <w:sdtContent>
      <w:p w14:paraId="77B1C22C" w14:textId="522BC17A" w:rsidR="000967BB" w:rsidRDefault="000967BB">
        <w:pPr>
          <w:pStyle w:val="Jalus"/>
          <w:jc w:val="center"/>
        </w:pPr>
        <w:r>
          <w:fldChar w:fldCharType="begin"/>
        </w:r>
        <w:r>
          <w:instrText>PAGE   \* MERGEFORMAT</w:instrText>
        </w:r>
        <w:r>
          <w:fldChar w:fldCharType="separate"/>
        </w:r>
        <w:r>
          <w:t>2</w:t>
        </w:r>
        <w:r>
          <w:fldChar w:fldCharType="end"/>
        </w:r>
      </w:p>
    </w:sdtContent>
  </w:sdt>
  <w:p w14:paraId="58835BED" w14:textId="77777777" w:rsidR="000967BB" w:rsidRDefault="000967B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0C7C" w14:textId="77777777" w:rsidR="00340B06" w:rsidRDefault="00340B06" w:rsidP="000967BB">
      <w:pPr>
        <w:spacing w:after="0" w:line="240" w:lineRule="auto"/>
      </w:pPr>
      <w:r>
        <w:separator/>
      </w:r>
    </w:p>
  </w:footnote>
  <w:footnote w:type="continuationSeparator" w:id="0">
    <w:p w14:paraId="64E9CB29" w14:textId="77777777" w:rsidR="00340B06" w:rsidRDefault="00340B06" w:rsidP="00096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2E2"/>
    <w:multiLevelType w:val="hybridMultilevel"/>
    <w:tmpl w:val="C68A47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3034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C8"/>
    <w:rsid w:val="000967BB"/>
    <w:rsid w:val="000A2EA6"/>
    <w:rsid w:val="003140C4"/>
    <w:rsid w:val="00340B06"/>
    <w:rsid w:val="003E5F14"/>
    <w:rsid w:val="003F1B43"/>
    <w:rsid w:val="004D58C5"/>
    <w:rsid w:val="0097796D"/>
    <w:rsid w:val="00A15E6A"/>
    <w:rsid w:val="00C571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4D35"/>
  <w15:chartTrackingRefBased/>
  <w15:docId w15:val="{1F76D919-F0B4-4019-A9B5-967087D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57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57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571C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571C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571C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571C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571C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571C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571C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571C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571C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571C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571C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571C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571C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571C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571C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571C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57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571C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571C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571C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571C8"/>
    <w:pPr>
      <w:spacing w:before="160"/>
      <w:jc w:val="center"/>
    </w:pPr>
    <w:rPr>
      <w:i/>
      <w:iCs/>
      <w:color w:val="404040" w:themeColor="text1" w:themeTint="BF"/>
    </w:rPr>
  </w:style>
  <w:style w:type="character" w:customStyle="1" w:styleId="TsitaatMrk">
    <w:name w:val="Tsitaat Märk"/>
    <w:basedOn w:val="Liguvaikefont"/>
    <w:link w:val="Tsitaat"/>
    <w:uiPriority w:val="29"/>
    <w:rsid w:val="00C571C8"/>
    <w:rPr>
      <w:i/>
      <w:iCs/>
      <w:color w:val="404040" w:themeColor="text1" w:themeTint="BF"/>
    </w:rPr>
  </w:style>
  <w:style w:type="paragraph" w:styleId="Loendilik">
    <w:name w:val="List Paragraph"/>
    <w:basedOn w:val="Normaallaad"/>
    <w:uiPriority w:val="34"/>
    <w:qFormat/>
    <w:rsid w:val="00C571C8"/>
    <w:pPr>
      <w:ind w:left="720"/>
      <w:contextualSpacing/>
    </w:pPr>
  </w:style>
  <w:style w:type="character" w:styleId="Selgeltmrgatavrhutus">
    <w:name w:val="Intense Emphasis"/>
    <w:basedOn w:val="Liguvaikefont"/>
    <w:uiPriority w:val="21"/>
    <w:qFormat/>
    <w:rsid w:val="00C571C8"/>
    <w:rPr>
      <w:i/>
      <w:iCs/>
      <w:color w:val="0F4761" w:themeColor="accent1" w:themeShade="BF"/>
    </w:rPr>
  </w:style>
  <w:style w:type="paragraph" w:styleId="Selgeltmrgatavtsitaat">
    <w:name w:val="Intense Quote"/>
    <w:basedOn w:val="Normaallaad"/>
    <w:next w:val="Normaallaad"/>
    <w:link w:val="SelgeltmrgatavtsitaatMrk"/>
    <w:uiPriority w:val="30"/>
    <w:qFormat/>
    <w:rsid w:val="00C57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571C8"/>
    <w:rPr>
      <w:i/>
      <w:iCs/>
      <w:color w:val="0F4761" w:themeColor="accent1" w:themeShade="BF"/>
    </w:rPr>
  </w:style>
  <w:style w:type="character" w:styleId="Selgeltmrgatavviide">
    <w:name w:val="Intense Reference"/>
    <w:basedOn w:val="Liguvaikefont"/>
    <w:uiPriority w:val="32"/>
    <w:qFormat/>
    <w:rsid w:val="00C571C8"/>
    <w:rPr>
      <w:b/>
      <w:bCs/>
      <w:smallCaps/>
      <w:color w:val="0F4761" w:themeColor="accent1" w:themeShade="BF"/>
      <w:spacing w:val="5"/>
    </w:rPr>
  </w:style>
  <w:style w:type="character" w:styleId="Hperlink">
    <w:name w:val="Hyperlink"/>
    <w:basedOn w:val="Liguvaikefont"/>
    <w:uiPriority w:val="99"/>
    <w:unhideWhenUsed/>
    <w:rsid w:val="00C571C8"/>
    <w:rPr>
      <w:color w:val="467886" w:themeColor="hyperlink"/>
      <w:u w:val="single"/>
    </w:rPr>
  </w:style>
  <w:style w:type="character" w:styleId="Lahendamatamainimine">
    <w:name w:val="Unresolved Mention"/>
    <w:basedOn w:val="Liguvaikefont"/>
    <w:uiPriority w:val="99"/>
    <w:semiHidden/>
    <w:unhideWhenUsed/>
    <w:rsid w:val="00C571C8"/>
    <w:rPr>
      <w:color w:val="605E5C"/>
      <w:shd w:val="clear" w:color="auto" w:fill="E1DFDD"/>
    </w:rPr>
  </w:style>
  <w:style w:type="table" w:styleId="Kontuurtabel">
    <w:name w:val="Table Grid"/>
    <w:basedOn w:val="Normaaltabel"/>
    <w:uiPriority w:val="39"/>
    <w:rsid w:val="003E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0967BB"/>
    <w:pPr>
      <w:tabs>
        <w:tab w:val="center" w:pos="4536"/>
        <w:tab w:val="right" w:pos="9072"/>
      </w:tabs>
      <w:spacing w:after="0" w:line="240" w:lineRule="auto"/>
    </w:pPr>
  </w:style>
  <w:style w:type="character" w:customStyle="1" w:styleId="PisMrk">
    <w:name w:val="Päis Märk"/>
    <w:basedOn w:val="Liguvaikefont"/>
    <w:link w:val="Pis"/>
    <w:uiPriority w:val="99"/>
    <w:rsid w:val="000967BB"/>
  </w:style>
  <w:style w:type="paragraph" w:styleId="Jalus">
    <w:name w:val="footer"/>
    <w:basedOn w:val="Normaallaad"/>
    <w:link w:val="JalusMrk"/>
    <w:uiPriority w:val="99"/>
    <w:unhideWhenUsed/>
    <w:rsid w:val="000967BB"/>
    <w:pPr>
      <w:tabs>
        <w:tab w:val="center" w:pos="4536"/>
        <w:tab w:val="right" w:pos="9072"/>
      </w:tabs>
      <w:spacing w:after="0" w:line="240" w:lineRule="auto"/>
    </w:pPr>
  </w:style>
  <w:style w:type="character" w:customStyle="1" w:styleId="JalusMrk">
    <w:name w:val="Jalus Märk"/>
    <w:basedOn w:val="Liguvaikefont"/>
    <w:link w:val="Jalus"/>
    <w:uiPriority w:val="99"/>
    <w:rsid w:val="0009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umats.peedos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EC978-DDC1-4110-BC19-28DAAF4D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215</Words>
  <Characters>2101</Characters>
  <Application>Microsoft Office Word</Application>
  <DocSecurity>0</DocSecurity>
  <Lines>161</Lines>
  <Paragraphs>165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Uku-Mats Peedosk</dc:creator>
  <cp:keywords/>
  <dc:description/>
  <cp:lastModifiedBy>Uku-Mats Peedosk</cp:lastModifiedBy>
  <cp:revision>3</cp:revision>
  <dcterms:created xsi:type="dcterms:W3CDTF">2026-01-28T08:09:00Z</dcterms:created>
  <dcterms:modified xsi:type="dcterms:W3CDTF">2026-01-28T13:10:00Z</dcterms:modified>
</cp:coreProperties>
</file>